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5CF" w:rsidRPr="007C75CF" w:rsidRDefault="007C75CF" w:rsidP="007C75CF">
      <w:pPr>
        <w:rPr>
          <w:b/>
          <w:sz w:val="48"/>
          <w:szCs w:val="48"/>
        </w:rPr>
      </w:pPr>
      <w:r>
        <w:rPr>
          <w:b/>
          <w:sz w:val="48"/>
          <w:szCs w:val="48"/>
        </w:rPr>
        <w:t>Multinominal</w:t>
      </w:r>
    </w:p>
    <w:p w:rsidR="007C75CF" w:rsidRPr="007C75CF" w:rsidRDefault="007C75CF" w:rsidP="007C75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74"/>
        <w:gridCol w:w="2659"/>
        <w:gridCol w:w="1676"/>
        <w:gridCol w:w="1107"/>
        <w:gridCol w:w="1593"/>
      </w:tblGrid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6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Verarbeitete Fälle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909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59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Rand-Prozentsatz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74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59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Art der Holzbeschaffung</w:t>
            </w:r>
          </w:p>
        </w:tc>
        <w:tc>
          <w:tcPr>
            <w:tcW w:w="167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Holzschlag (1)</w:t>
            </w:r>
          </w:p>
        </w:tc>
        <w:tc>
          <w:tcPr>
            <w:tcW w:w="110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59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63,0%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7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59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Kein Holz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(0)</w:t>
            </w:r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9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22,2%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7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59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Holzkauf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(2)</w:t>
            </w:r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9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14,8%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7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5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</w:t>
            </w: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gut</w:t>
            </w:r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59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77,8%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7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schlecht</w:t>
            </w:r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9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22,2%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7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35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59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7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35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7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5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Gesamt</w:t>
            </w:r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59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7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5" w:type="dxa"/>
            <w:gridSpan w:val="2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Teilgesamtheit</w:t>
            </w:r>
          </w:p>
        </w:tc>
        <w:tc>
          <w:tcPr>
            <w:tcW w:w="1107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93" w:type="dxa"/>
            <w:tcBorders>
              <w:top w:val="nil"/>
              <w:right w:val="single" w:sz="16" w:space="0" w:color="000000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6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9"/>
        <w:gridCol w:w="2193"/>
        <w:gridCol w:w="1107"/>
        <w:gridCol w:w="1105"/>
        <w:gridCol w:w="1107"/>
        <w:gridCol w:w="1107"/>
      </w:tblGrid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6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Informationen zur Modellanpassung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8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1" w:type="dxa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Modell</w:t>
            </w:r>
          </w:p>
        </w:tc>
        <w:tc>
          <w:tcPr>
            <w:tcW w:w="1107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Kriterien für die Modellanpassung</w:t>
            </w:r>
          </w:p>
        </w:tc>
        <w:tc>
          <w:tcPr>
            <w:tcW w:w="3319" w:type="dxa"/>
            <w:gridSpan w:val="3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-Quotienten-Tests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1" w:type="dxa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7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-2 Log-</w:t>
            </w: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1105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107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107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Signifikanz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8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Nur konstanter Term</w:t>
            </w:r>
          </w:p>
        </w:tc>
        <w:tc>
          <w:tcPr>
            <w:tcW w:w="110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22,410</w:t>
            </w:r>
          </w:p>
        </w:tc>
        <w:tc>
          <w:tcPr>
            <w:tcW w:w="110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Endgültig</w:t>
            </w:r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6,820</w:t>
            </w:r>
          </w:p>
        </w:tc>
        <w:tc>
          <w:tcPr>
            <w:tcW w:w="110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15,591</w:t>
            </w:r>
          </w:p>
        </w:tc>
        <w:tc>
          <w:tcPr>
            <w:tcW w:w="110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</w:tbl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37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9"/>
        <w:gridCol w:w="1576"/>
        <w:gridCol w:w="1107"/>
      </w:tblGrid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761" w:type="dxa"/>
            <w:gridSpan w:val="3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Pseudo-R-Quadrat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8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Farming</w:t>
            </w:r>
          </w:p>
        </w:tc>
        <w:tc>
          <w:tcPr>
            <w:tcW w:w="157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Cox und Snell</w:t>
            </w:r>
          </w:p>
        </w:tc>
        <w:tc>
          <w:tcPr>
            <w:tcW w:w="110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,439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Nagelkerke</w:t>
            </w:r>
            <w:proofErr w:type="spellEnd"/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,524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McFadden</w:t>
            </w:r>
            <w:proofErr w:type="spellEnd"/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,318</w:t>
            </w:r>
          </w:p>
        </w:tc>
      </w:tr>
    </w:tbl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3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9"/>
        <w:gridCol w:w="1844"/>
        <w:gridCol w:w="1107"/>
        <w:gridCol w:w="1105"/>
        <w:gridCol w:w="1107"/>
        <w:gridCol w:w="1107"/>
      </w:tblGrid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Likelihood</w:t>
            </w:r>
            <w:proofErr w:type="spellEnd"/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-Quotienten-Tests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Effekt</w:t>
            </w:r>
          </w:p>
        </w:tc>
        <w:tc>
          <w:tcPr>
            <w:tcW w:w="1107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Kriterien für die Modellanpassung</w:t>
            </w:r>
          </w:p>
        </w:tc>
        <w:tc>
          <w:tcPr>
            <w:tcW w:w="3319" w:type="dxa"/>
            <w:gridSpan w:val="3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-Quotienten-Tests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7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-2 Log-</w:t>
            </w: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 xml:space="preserve"> für reduziertes Modell</w:t>
            </w:r>
          </w:p>
        </w:tc>
        <w:tc>
          <w:tcPr>
            <w:tcW w:w="1105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107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107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Signifikanz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Konstanter Term</w:t>
            </w:r>
          </w:p>
        </w:tc>
        <w:tc>
          <w:tcPr>
            <w:tcW w:w="110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6,820</w:t>
            </w:r>
            <w:r w:rsidRPr="007C75C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0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10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</w:t>
            </w:r>
          </w:p>
        </w:tc>
        <w:tc>
          <w:tcPr>
            <w:tcW w:w="110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22,410</w:t>
            </w:r>
          </w:p>
        </w:tc>
        <w:tc>
          <w:tcPr>
            <w:tcW w:w="110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15,591</w:t>
            </w:r>
          </w:p>
        </w:tc>
        <w:tc>
          <w:tcPr>
            <w:tcW w:w="110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</w:tbl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4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"/>
        <w:gridCol w:w="1071"/>
        <w:gridCol w:w="1677"/>
        <w:gridCol w:w="1007"/>
        <w:gridCol w:w="1450"/>
        <w:gridCol w:w="1007"/>
        <w:gridCol w:w="1452"/>
        <w:gridCol w:w="1181"/>
        <w:gridCol w:w="1400"/>
        <w:gridCol w:w="1452"/>
        <w:gridCol w:w="1452"/>
      </w:tblGrid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1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Parameterschätzer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1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47" w:type="dxa"/>
            <w:gridSpan w:val="2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BrennholzbekommenTyp</w:t>
            </w:r>
            <w:r w:rsidRPr="007C75C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100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1449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007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451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181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Signifikanz</w:t>
            </w:r>
          </w:p>
        </w:tc>
        <w:tc>
          <w:tcPr>
            <w:tcW w:w="140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Exp</w:t>
            </w:r>
            <w:proofErr w:type="spellEnd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(B)</w:t>
            </w:r>
          </w:p>
        </w:tc>
        <w:tc>
          <w:tcPr>
            <w:tcW w:w="2902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 xml:space="preserve">95% Konfidenzintervall für </w:t>
            </w: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Exp</w:t>
            </w:r>
            <w:proofErr w:type="spellEnd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(B)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47" w:type="dxa"/>
            <w:gridSpan w:val="2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9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0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45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1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vMerge w:val="restart"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Kein Holz</w:t>
            </w:r>
          </w:p>
        </w:tc>
        <w:tc>
          <w:tcPr>
            <w:tcW w:w="167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Konstanter Term</w:t>
            </w:r>
          </w:p>
        </w:tc>
        <w:tc>
          <w:tcPr>
            <w:tcW w:w="100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-1,386</w:t>
            </w:r>
          </w:p>
        </w:tc>
        <w:tc>
          <w:tcPr>
            <w:tcW w:w="144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1,118</w:t>
            </w:r>
          </w:p>
        </w:tc>
        <w:tc>
          <w:tcPr>
            <w:tcW w:w="100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1,537</w:t>
            </w:r>
          </w:p>
        </w:tc>
        <w:tc>
          <w:tcPr>
            <w:tcW w:w="145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,215</w:t>
            </w:r>
          </w:p>
        </w:tc>
        <w:tc>
          <w:tcPr>
            <w:tcW w:w="14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Umweltverhalten=0</w:t>
            </w:r>
          </w:p>
        </w:tc>
        <w:tc>
          <w:tcPr>
            <w:tcW w:w="10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22,547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1,504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224,702</w:t>
            </w:r>
          </w:p>
        </w:tc>
        <w:tc>
          <w:tcPr>
            <w:tcW w:w="1451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1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6,198E9</w:t>
            </w:r>
          </w:p>
        </w:tc>
        <w:tc>
          <w:tcPr>
            <w:tcW w:w="1451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3,250E8</w:t>
            </w:r>
          </w:p>
        </w:tc>
        <w:tc>
          <w:tcPr>
            <w:tcW w:w="145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1,182E11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Umweltverhalten=1</w:t>
            </w:r>
          </w:p>
        </w:tc>
        <w:tc>
          <w:tcPr>
            <w:tcW w:w="1007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7C75C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49" w:type="dxa"/>
            <w:tcBorders>
              <w:top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7" w:type="dxa"/>
            <w:tcBorders>
              <w:top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1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vMerge w:val="restart"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Holzschlag</w:t>
            </w:r>
          </w:p>
        </w:tc>
        <w:tc>
          <w:tcPr>
            <w:tcW w:w="1676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Konstanter Term</w:t>
            </w:r>
          </w:p>
        </w:tc>
        <w:tc>
          <w:tcPr>
            <w:tcW w:w="1007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1,386</w:t>
            </w:r>
          </w:p>
        </w:tc>
        <w:tc>
          <w:tcPr>
            <w:tcW w:w="1449" w:type="dxa"/>
            <w:tcBorders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,559</w:t>
            </w:r>
          </w:p>
        </w:tc>
        <w:tc>
          <w:tcPr>
            <w:tcW w:w="1007" w:type="dxa"/>
            <w:tcBorders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6,150</w:t>
            </w:r>
          </w:p>
        </w:tc>
        <w:tc>
          <w:tcPr>
            <w:tcW w:w="1451" w:type="dxa"/>
            <w:tcBorders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1" w:type="dxa"/>
            <w:tcBorders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,013</w:t>
            </w:r>
          </w:p>
        </w:tc>
        <w:tc>
          <w:tcPr>
            <w:tcW w:w="1400" w:type="dxa"/>
            <w:tcBorders>
              <w:bottom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bottom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vMerge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Umweltverhalten=0</w:t>
            </w:r>
          </w:p>
        </w:tc>
        <w:tc>
          <w:tcPr>
            <w:tcW w:w="10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18,165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1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1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77472354,064</w:t>
            </w:r>
          </w:p>
        </w:tc>
        <w:tc>
          <w:tcPr>
            <w:tcW w:w="1451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77472354,064</w:t>
            </w:r>
          </w:p>
        </w:tc>
        <w:tc>
          <w:tcPr>
            <w:tcW w:w="145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77472354,064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vMerge/>
            <w:tcBorders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Umweltverhalten=1</w:t>
            </w:r>
          </w:p>
        </w:tc>
        <w:tc>
          <w:tcPr>
            <w:tcW w:w="100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7C75C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4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 xml:space="preserve">a. Die Referenzkategorie lautet: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Holzkauf</w:t>
            </w:r>
            <w:proofErr w:type="spellEnd"/>
          </w:p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 xml:space="preserve">b. Dieser Parameter wird auf </w:t>
            </w: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Null</w:t>
            </w:r>
            <w:proofErr w:type="spellEnd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 xml:space="preserve"> gesetzt, weil er redundant ist.</w:t>
            </w:r>
          </w:p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E1D23" w:rsidRDefault="009E1D23"/>
    <w:p w:rsidR="007C75CF" w:rsidRDefault="007C75CF"/>
    <w:p w:rsidR="007C75CF" w:rsidRDefault="007C75CF"/>
    <w:p w:rsidR="007C75CF" w:rsidRDefault="007C75CF"/>
    <w:p w:rsidR="007C75CF" w:rsidRDefault="007C75CF"/>
    <w:p w:rsidR="007C75CF" w:rsidRDefault="007C75CF"/>
    <w:p w:rsidR="007C75CF" w:rsidRDefault="007C75CF"/>
    <w:p w:rsidR="007C75CF" w:rsidRDefault="007C75CF"/>
    <w:p w:rsidR="007C75CF" w:rsidRDefault="007C75CF"/>
    <w:p w:rsidR="007C75CF" w:rsidRPr="007C75CF" w:rsidRDefault="007C75CF">
      <w:pPr>
        <w:rPr>
          <w:b/>
          <w:sz w:val="48"/>
          <w:szCs w:val="48"/>
        </w:rPr>
      </w:pPr>
      <w:r>
        <w:rPr>
          <w:b/>
          <w:sz w:val="48"/>
          <w:szCs w:val="48"/>
        </w:rPr>
        <w:t>Logis</w:t>
      </w:r>
      <w:r w:rsidRPr="007C75CF">
        <w:rPr>
          <w:b/>
          <w:sz w:val="48"/>
          <w:szCs w:val="48"/>
        </w:rPr>
        <w:t>tisch</w:t>
      </w:r>
    </w:p>
    <w:p w:rsidR="007C75CF" w:rsidRPr="007C75CF" w:rsidRDefault="007C75CF" w:rsidP="007C75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6"/>
        <w:gridCol w:w="1033"/>
        <w:gridCol w:w="900"/>
        <w:gridCol w:w="1414"/>
        <w:gridCol w:w="1092"/>
        <w:gridCol w:w="1093"/>
      </w:tblGrid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5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Omnibus-Tests der Modellkoeffizienten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997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09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09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6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2" w:type="dxa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Schritt 1</w:t>
            </w:r>
          </w:p>
        </w:tc>
        <w:tc>
          <w:tcPr>
            <w:tcW w:w="90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Schritt</w:t>
            </w:r>
          </w:p>
        </w:tc>
        <w:tc>
          <w:tcPr>
            <w:tcW w:w="141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15,591</w:t>
            </w:r>
          </w:p>
        </w:tc>
        <w:tc>
          <w:tcPr>
            <w:tcW w:w="109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6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2" w:type="dxa"/>
            <w:vMerge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Block</w:t>
            </w:r>
          </w:p>
        </w:tc>
        <w:tc>
          <w:tcPr>
            <w:tcW w:w="141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15,591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  <w:tr w:rsidR="007C75CF" w:rsidRPr="007C75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6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2" w:type="dxa"/>
            <w:vMerge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Modell</w:t>
            </w:r>
          </w:p>
        </w:tc>
        <w:tc>
          <w:tcPr>
            <w:tcW w:w="141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15,591</w:t>
            </w:r>
          </w:p>
        </w:tc>
        <w:tc>
          <w:tcPr>
            <w:tcW w:w="109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</w:tbl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1"/>
        <w:gridCol w:w="872"/>
        <w:gridCol w:w="1575"/>
        <w:gridCol w:w="1574"/>
        <w:gridCol w:w="1575"/>
      </w:tblGrid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1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Modellzusammenfassung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4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Schritt</w:t>
            </w:r>
          </w:p>
        </w:tc>
        <w:tc>
          <w:tcPr>
            <w:tcW w:w="15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-2 Log-</w:t>
            </w: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157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Cox &amp; Snell R-Quadrat</w:t>
            </w:r>
          </w:p>
        </w:tc>
        <w:tc>
          <w:tcPr>
            <w:tcW w:w="15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Nagelkerkes R-Quadrat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41" w:type="dxa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872" w:type="dxa"/>
            <w:tcBorders>
              <w:top w:val="single" w:sz="16" w:space="0" w:color="000000"/>
              <w:left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13,013</w:t>
            </w:r>
            <w:r w:rsidRPr="007C75C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74" w:type="dxa"/>
            <w:tcBorders>
              <w:top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,439</w:t>
            </w:r>
          </w:p>
        </w:tc>
        <w:tc>
          <w:tcPr>
            <w:tcW w:w="157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,671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29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2"/>
        <w:gridCol w:w="1033"/>
        <w:gridCol w:w="2625"/>
        <w:gridCol w:w="2049"/>
        <w:gridCol w:w="1575"/>
        <w:gridCol w:w="1573"/>
        <w:gridCol w:w="1575"/>
      </w:tblGrid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29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Klassifizierungstabelle</w:t>
            </w:r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575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TYPE</w:t>
            </w:r>
          </w:p>
        </w:tc>
        <w:tc>
          <w:tcPr>
            <w:tcW w:w="4674" w:type="dxa"/>
            <w:gridSpan w:val="2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Beobachtet</w:t>
            </w:r>
          </w:p>
        </w:tc>
        <w:tc>
          <w:tcPr>
            <w:tcW w:w="4723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Vorhergesagt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57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74" w:type="dxa"/>
            <w:gridSpan w:val="2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8" w:type="dxa"/>
            <w:gridSpan w:val="2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</w:t>
            </w:r>
          </w:p>
        </w:tc>
        <w:tc>
          <w:tcPr>
            <w:tcW w:w="1575" w:type="dxa"/>
            <w:vMerge w:val="restart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Prozentsatz der Richtigen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57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74" w:type="dxa"/>
            <w:gridSpan w:val="2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5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schlecht</w:t>
            </w:r>
          </w:p>
        </w:tc>
        <w:tc>
          <w:tcPr>
            <w:tcW w:w="1573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gut</w:t>
            </w:r>
          </w:p>
        </w:tc>
        <w:tc>
          <w:tcPr>
            <w:tcW w:w="1575" w:type="dxa"/>
            <w:vMerge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42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Farming</w:t>
            </w:r>
          </w:p>
        </w:tc>
        <w:tc>
          <w:tcPr>
            <w:tcW w:w="1033" w:type="dxa"/>
            <w:vMerge w:val="restart"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Schritt 1</w:t>
            </w:r>
          </w:p>
        </w:tc>
        <w:tc>
          <w:tcPr>
            <w:tcW w:w="2625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</w:t>
            </w: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</w:t>
            </w:r>
            <w:proofErr w:type="spellEnd"/>
          </w:p>
        </w:tc>
        <w:tc>
          <w:tcPr>
            <w:tcW w:w="204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schlecht</w:t>
            </w:r>
          </w:p>
        </w:tc>
        <w:tc>
          <w:tcPr>
            <w:tcW w:w="15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83,3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4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3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5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gut</w:t>
            </w:r>
          </w:p>
        </w:tc>
        <w:tc>
          <w:tcPr>
            <w:tcW w:w="15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5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95,2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4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3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74" w:type="dxa"/>
            <w:gridSpan w:val="2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Gesamtprozentsatz</w:t>
            </w:r>
          </w:p>
        </w:tc>
        <w:tc>
          <w:tcPr>
            <w:tcW w:w="1575" w:type="dxa"/>
            <w:tcBorders>
              <w:top w:val="nil"/>
              <w:left w:val="single" w:sz="16" w:space="0" w:color="000000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a. Der Trennwert lautet ,500</w:t>
            </w:r>
          </w:p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31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5"/>
        <w:gridCol w:w="1057"/>
        <w:gridCol w:w="2421"/>
        <w:gridCol w:w="1453"/>
        <w:gridCol w:w="1452"/>
        <w:gridCol w:w="1008"/>
        <w:gridCol w:w="1008"/>
        <w:gridCol w:w="1008"/>
        <w:gridCol w:w="1403"/>
      </w:tblGrid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31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Variablen in der Gleichung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823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RegressionskoeffizientB</w:t>
            </w:r>
            <w:proofErr w:type="spellEnd"/>
          </w:p>
        </w:tc>
        <w:tc>
          <w:tcPr>
            <w:tcW w:w="145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0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0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0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40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Exp</w:t>
            </w:r>
            <w:proofErr w:type="spellEnd"/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(B)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45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7" w:type="dxa"/>
            <w:vMerge w:val="restart"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Schritt 1</w:t>
            </w:r>
            <w:r w:rsidRPr="007C75C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242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1876CC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Kein Brennholz</w:t>
            </w: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8,487</w:t>
            </w:r>
          </w:p>
        </w:tc>
        <w:tc>
          <w:tcPr>
            <w:tcW w:w="100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,014</w:t>
            </w:r>
          </w:p>
        </w:tc>
        <w:tc>
          <w:tcPr>
            <w:tcW w:w="140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45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1876CC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Holzschlag </w:t>
            </w:r>
            <w:r w:rsidR="007C75CF" w:rsidRPr="007C75CF">
              <w:rPr>
                <w:rFonts w:ascii="Arial" w:hAnsi="Arial" w:cs="Arial"/>
                <w:color w:val="000000"/>
                <w:sz w:val="18"/>
                <w:szCs w:val="18"/>
              </w:rPr>
              <w:t>(1)</w:t>
            </w:r>
          </w:p>
        </w:tc>
        <w:tc>
          <w:tcPr>
            <w:tcW w:w="145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-22,812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20096,483</w:t>
            </w:r>
          </w:p>
        </w:tc>
        <w:tc>
          <w:tcPr>
            <w:tcW w:w="1008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008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8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,999</w:t>
            </w:r>
          </w:p>
        </w:tc>
        <w:tc>
          <w:tcPr>
            <w:tcW w:w="140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45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7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1876CC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Holzkauf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C75CF" w:rsidRPr="007C75CF">
              <w:rPr>
                <w:rFonts w:ascii="Arial" w:hAnsi="Arial" w:cs="Arial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45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-18,430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20096,482</w:t>
            </w:r>
          </w:p>
        </w:tc>
        <w:tc>
          <w:tcPr>
            <w:tcW w:w="1008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008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8" w:type="dxa"/>
            <w:tcBorders>
              <w:top w:val="nil"/>
              <w:bottom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,999</w:t>
            </w:r>
          </w:p>
        </w:tc>
        <w:tc>
          <w:tcPr>
            <w:tcW w:w="140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45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7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1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Konstante</w:t>
            </w:r>
          </w:p>
        </w:tc>
        <w:tc>
          <w:tcPr>
            <w:tcW w:w="1453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21,203</w:t>
            </w:r>
          </w:p>
        </w:tc>
        <w:tc>
          <w:tcPr>
            <w:tcW w:w="1452" w:type="dxa"/>
            <w:tcBorders>
              <w:top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20096,482</w:t>
            </w:r>
          </w:p>
        </w:tc>
        <w:tc>
          <w:tcPr>
            <w:tcW w:w="1008" w:type="dxa"/>
            <w:tcBorders>
              <w:top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008" w:type="dxa"/>
            <w:tcBorders>
              <w:top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8" w:type="dxa"/>
            <w:tcBorders>
              <w:top w:val="nil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,999</w:t>
            </w:r>
          </w:p>
        </w:tc>
        <w:tc>
          <w:tcPr>
            <w:tcW w:w="1403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7C75CF" w:rsidRPr="007C75CF" w:rsidRDefault="007C75CF" w:rsidP="007C75C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5CF">
              <w:rPr>
                <w:rFonts w:ascii="Arial" w:hAnsi="Arial" w:cs="Arial"/>
                <w:color w:val="000000"/>
                <w:sz w:val="18"/>
                <w:szCs w:val="18"/>
              </w:rPr>
              <w:t>1,615E9</w:t>
            </w:r>
          </w:p>
        </w:tc>
      </w:tr>
      <w:tr w:rsidR="007C75CF" w:rsidRPr="007C75CF" w:rsidTr="007C75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C75CF" w:rsidRPr="007C75CF" w:rsidRDefault="007C75CF" w:rsidP="001876C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C75CF" w:rsidRPr="007C75CF" w:rsidRDefault="007C75CF" w:rsidP="007C75C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C75CF" w:rsidRDefault="007C75CF"/>
    <w:sectPr w:rsidR="007C75CF" w:rsidSect="00735AF2">
      <w:pgSz w:w="17010" w:h="16836" w:orient="landscape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5CF"/>
    <w:rsid w:val="001064B1"/>
    <w:rsid w:val="00174828"/>
    <w:rsid w:val="001876CC"/>
    <w:rsid w:val="001F7ECA"/>
    <w:rsid w:val="003B7B39"/>
    <w:rsid w:val="003D2D41"/>
    <w:rsid w:val="004D6C39"/>
    <w:rsid w:val="00520665"/>
    <w:rsid w:val="005B1E52"/>
    <w:rsid w:val="007C75CF"/>
    <w:rsid w:val="007F0487"/>
    <w:rsid w:val="007F7273"/>
    <w:rsid w:val="0080603F"/>
    <w:rsid w:val="00856BB1"/>
    <w:rsid w:val="008D0086"/>
    <w:rsid w:val="009E1D23"/>
    <w:rsid w:val="00AC49A8"/>
    <w:rsid w:val="00BF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6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0603F"/>
    <w:pPr>
      <w:tabs>
        <w:tab w:val="left" w:pos="2410"/>
      </w:tabs>
      <w:suppressAutoHyphens/>
      <w:spacing w:before="600" w:after="360" w:line="360" w:lineRule="auto"/>
      <w:outlineLvl w:val="2"/>
    </w:pPr>
    <w:rPr>
      <w:rFonts w:ascii="Times New Roman" w:eastAsiaTheme="minorHAnsi" w:hAnsi="Times New Roman" w:cstheme="minorBidi"/>
      <w:b w:val="0"/>
      <w:bCs w:val="0"/>
      <w:color w:val="000000" w:themeColor="text1"/>
      <w:kern w:val="2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80603F"/>
    <w:rPr>
      <w:rFonts w:ascii="Times New Roman" w:hAnsi="Times New Roman"/>
      <w:color w:val="000000" w:themeColor="text1"/>
      <w:kern w:val="28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6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6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0603F"/>
    <w:pPr>
      <w:tabs>
        <w:tab w:val="left" w:pos="2410"/>
      </w:tabs>
      <w:suppressAutoHyphens/>
      <w:spacing w:before="600" w:after="360" w:line="360" w:lineRule="auto"/>
      <w:outlineLvl w:val="2"/>
    </w:pPr>
    <w:rPr>
      <w:rFonts w:ascii="Times New Roman" w:eastAsiaTheme="minorHAnsi" w:hAnsi="Times New Roman" w:cstheme="minorBidi"/>
      <w:b w:val="0"/>
      <w:bCs w:val="0"/>
      <w:color w:val="000000" w:themeColor="text1"/>
      <w:kern w:val="2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80603F"/>
    <w:rPr>
      <w:rFonts w:ascii="Times New Roman" w:hAnsi="Times New Roman"/>
      <w:color w:val="000000" w:themeColor="text1"/>
      <w:kern w:val="28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6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2</cp:revision>
  <dcterms:created xsi:type="dcterms:W3CDTF">2013-04-23T08:40:00Z</dcterms:created>
  <dcterms:modified xsi:type="dcterms:W3CDTF">2013-04-23T08:57:00Z</dcterms:modified>
</cp:coreProperties>
</file>